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 w:firstLine="2209" w:firstLineChars="500"/>
        <w:jc w:val="both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  <w:lang w:val="en-US" w:eastAsia="zh-CN"/>
        </w:rPr>
        <w:t>业务办理</w:t>
      </w:r>
      <w:r>
        <w:rPr>
          <w:rFonts w:hint="eastAsia" w:ascii="黑体" w:hAnsi="宋体" w:eastAsia="黑体"/>
          <w:b/>
          <w:sz w:val="44"/>
          <w:szCs w:val="44"/>
        </w:rPr>
        <w:t>授权委托书</w:t>
      </w:r>
    </w:p>
    <w:p>
      <w:pPr>
        <w:ind w:right="560"/>
        <w:jc w:val="both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兹委托_______先生（或女士），身份证号________________，联系电话________________，代表本单位在锦泰期货有限公司办理</w:t>
      </w:r>
      <w:r>
        <w:rPr>
          <w:rFonts w:hint="eastAsia" w:ascii="宋体" w:hAnsi="宋体"/>
          <w:sz w:val="28"/>
          <w:szCs w:val="28"/>
          <w:lang w:val="en-US" w:eastAsia="zh-CN"/>
        </w:rPr>
        <w:t>以下业务，</w:t>
      </w:r>
      <w:r>
        <w:rPr>
          <w:rFonts w:hint="eastAsia" w:ascii="宋体" w:hAnsi="宋体"/>
          <w:sz w:val="28"/>
          <w:szCs w:val="28"/>
        </w:rPr>
        <w:t>本单位知晓并愿意承担由被委托人代为办理</w:t>
      </w:r>
      <w:r>
        <w:rPr>
          <w:rFonts w:hint="eastAsia" w:ascii="宋体" w:hAnsi="宋体"/>
          <w:sz w:val="28"/>
          <w:szCs w:val="28"/>
          <w:lang w:val="en-US" w:eastAsia="zh-CN"/>
        </w:rPr>
        <w:t>期货业务相关</w:t>
      </w:r>
      <w:r>
        <w:rPr>
          <w:rFonts w:hint="eastAsia" w:ascii="宋体" w:hAnsi="宋体"/>
          <w:sz w:val="28"/>
          <w:szCs w:val="28"/>
        </w:rPr>
        <w:t>事宜可能带来的一切法律后果。本单位知晓并有能力承担因参与期货交易而产生的风险，保证参与期货交易资金来源的合法性和所提供资料的真实性，承诺遵守期货交易所的各项业务规则，自愿承担期货交易结果。</w:t>
      </w:r>
    </w:p>
    <w:p>
      <w:pPr>
        <w:spacing w:line="5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【必须在以下选择项前的□内打印“☑”，不得手填，若空缺则视为该项业务不在授权范围内。】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□适当性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□激活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□销户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□开通交易权限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□资金密码重置□交易密码重置□监控中心密码重置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□信息变更</w:t>
      </w:r>
    </w:p>
    <w:p>
      <w:pPr>
        <w:spacing w:line="500" w:lineRule="exact"/>
        <w:ind w:firstLine="560" w:firstLineChars="200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□CTP开通□CTP关闭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□MC开通□MC关闭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□TB开通□TB关闭</w:t>
      </w:r>
    </w:p>
    <w:p>
      <w:pPr>
        <w:spacing w:line="500" w:lineRule="exact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□易盛开通□易盛关闭</w:t>
      </w:r>
      <w:bookmarkStart w:id="0" w:name="_GoBack"/>
      <w:bookmarkEnd w:id="0"/>
    </w:p>
    <w:p>
      <w:pPr>
        <w:spacing w:line="500" w:lineRule="exact"/>
        <w:ind w:firstLine="560" w:firstLineChars="200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□未尽事宜请详细明示：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</w:t>
      </w:r>
    </w:p>
    <w:p>
      <w:pPr>
        <w:ind w:right="560"/>
        <w:rPr>
          <w:rFonts w:hint="eastAsia" w:ascii="宋体" w:hAnsi="宋体"/>
          <w:sz w:val="28"/>
          <w:szCs w:val="28"/>
        </w:rPr>
      </w:pPr>
    </w:p>
    <w:p>
      <w:pPr>
        <w:ind w:left="4200" w:right="560"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委托单位（盖章）：</w:t>
      </w:r>
    </w:p>
    <w:p>
      <w:pPr>
        <w:ind w:left="4200" w:right="560" w:firstLine="42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法定代表人（签字/签章）：</w:t>
      </w:r>
    </w:p>
    <w:p>
      <w:pPr>
        <w:ind w:left="5040" w:leftChars="2400" w:right="560" w:firstLine="980" w:firstLineChars="350"/>
      </w:pPr>
      <w:r>
        <w:rPr>
          <w:rFonts w:hint="eastAsia" w:ascii="宋体" w:hAnsi="宋体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457F9"/>
    <w:rsid w:val="011115FB"/>
    <w:rsid w:val="085B2E6A"/>
    <w:rsid w:val="08A46E8A"/>
    <w:rsid w:val="08C6572E"/>
    <w:rsid w:val="0CBC43E5"/>
    <w:rsid w:val="13022DCA"/>
    <w:rsid w:val="147B21B0"/>
    <w:rsid w:val="15DE22F7"/>
    <w:rsid w:val="164F6371"/>
    <w:rsid w:val="18170FF7"/>
    <w:rsid w:val="1A3B76C4"/>
    <w:rsid w:val="1A61425A"/>
    <w:rsid w:val="1F1945B9"/>
    <w:rsid w:val="24847545"/>
    <w:rsid w:val="24890D7D"/>
    <w:rsid w:val="24A82619"/>
    <w:rsid w:val="25BD7E73"/>
    <w:rsid w:val="2E330E74"/>
    <w:rsid w:val="35DE1407"/>
    <w:rsid w:val="37512283"/>
    <w:rsid w:val="37705F44"/>
    <w:rsid w:val="39295AC0"/>
    <w:rsid w:val="3A5311DA"/>
    <w:rsid w:val="3B946553"/>
    <w:rsid w:val="3BA02C91"/>
    <w:rsid w:val="3C6B2E7A"/>
    <w:rsid w:val="3D487E2A"/>
    <w:rsid w:val="3DC4638E"/>
    <w:rsid w:val="43867469"/>
    <w:rsid w:val="43D26240"/>
    <w:rsid w:val="49AB5B84"/>
    <w:rsid w:val="4C8325DC"/>
    <w:rsid w:val="4D5F5759"/>
    <w:rsid w:val="4E365967"/>
    <w:rsid w:val="4EC400D3"/>
    <w:rsid w:val="505F3301"/>
    <w:rsid w:val="517E5BA2"/>
    <w:rsid w:val="5477471C"/>
    <w:rsid w:val="54E5156E"/>
    <w:rsid w:val="646C4C8A"/>
    <w:rsid w:val="64AE4808"/>
    <w:rsid w:val="70692DA4"/>
    <w:rsid w:val="721B2670"/>
    <w:rsid w:val="73A5739A"/>
    <w:rsid w:val="768921A6"/>
    <w:rsid w:val="781A18D0"/>
    <w:rsid w:val="7BB065B5"/>
    <w:rsid w:val="7D751B38"/>
    <w:rsid w:val="7E103940"/>
    <w:rsid w:val="7EC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韩丽亚</cp:lastModifiedBy>
  <cp:lastPrinted>2020-04-14T08:47:00Z</cp:lastPrinted>
  <dcterms:modified xsi:type="dcterms:W3CDTF">2020-06-07T06:44:38Z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